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C8F32" w14:textId="77777777" w:rsidR="00561093" w:rsidRDefault="00000000">
      <w:pPr>
        <w:spacing w:before="40" w:after="20"/>
        <w:jc w:val="center"/>
      </w:pPr>
      <w:r>
        <w:rPr>
          <w:rFonts w:ascii="Calibri" w:eastAsia="Calibri" w:hAnsi="Calibri" w:cs="Calibri"/>
          <w:b/>
          <w:bCs/>
          <w:color w:val="434343"/>
          <w:sz w:val="44"/>
          <w:szCs w:val="44"/>
        </w:rPr>
        <w:t>Geomatics House Engineering Consultants</w:t>
      </w:r>
    </w:p>
    <w:p w14:paraId="765E4382" w14:textId="77777777" w:rsidR="00561093" w:rsidRDefault="00000000">
      <w:pPr>
        <w:pBdr>
          <w:bottom w:val="single" w:sz="12" w:space="8" w:color="A6A6A6"/>
        </w:pBdr>
        <w:spacing w:after="60"/>
        <w:jc w:val="center"/>
      </w:pPr>
      <w:r>
        <w:rPr>
          <w:rFonts w:ascii="Calibri" w:eastAsia="Calibri" w:hAnsi="Calibri" w:cs="Calibri"/>
          <w:i/>
          <w:iCs/>
          <w:color w:val="3B3B3B"/>
          <w:sz w:val="24"/>
          <w:szCs w:val="24"/>
        </w:rPr>
        <w:t>Expertise in Urban Planning and Sustainable Development Since 2008</w:t>
      </w:r>
    </w:p>
    <w:p w14:paraId="1950C3F8" w14:textId="77777777" w:rsidR="00561093" w:rsidRDefault="00000000">
      <w:pPr>
        <w:keepNext/>
        <w:keepLines/>
        <w:pBdr>
          <w:bottom w:val="single" w:sz="8" w:space="4" w:color="A6A6A6"/>
        </w:pBdr>
        <w:spacing w:before="55" w:after="25"/>
      </w:pPr>
      <w:r>
        <w:rPr>
          <w:rFonts w:ascii="Calibri" w:eastAsia="Calibri" w:hAnsi="Calibri" w:cs="Calibri"/>
          <w:b/>
          <w:bCs/>
          <w:color w:val="434343"/>
          <w:spacing w:val="10"/>
          <w:sz w:val="24"/>
          <w:szCs w:val="24"/>
        </w:rPr>
        <w:t>ABOUT US</w:t>
      </w:r>
    </w:p>
    <w:p w14:paraId="4A7AD0BE" w14:textId="77777777" w:rsidR="00561093" w:rsidRDefault="00000000">
      <w:pPr>
        <w:keepNext/>
        <w:keepLines/>
        <w:spacing w:after="30" w:line="215" w:lineRule="auto"/>
        <w:jc w:val="both"/>
      </w:pPr>
      <w:r>
        <w:rPr>
          <w:rFonts w:ascii="Calibri" w:eastAsia="Calibri" w:hAnsi="Calibri" w:cs="Calibri"/>
          <w:color w:val="3B3B3B"/>
        </w:rPr>
        <w:t>Geomatics House Engineering Consultants is a specialized consulting firm providing top-tier advisory services in urban planning, urban development, sustainable development, and project management. The firm relies on a cumulative professional experience established in 2008, managing, developing, and preparing projects across the Arab Republic of Egypt, the Kingdom of Saudi Arabia, and the United Arab Emirates.</w:t>
      </w:r>
    </w:p>
    <w:p w14:paraId="64A6E615" w14:textId="77777777" w:rsidR="00561093" w:rsidRDefault="00000000">
      <w:pPr>
        <w:keepNext/>
        <w:keepLines/>
        <w:spacing w:after="30" w:line="215" w:lineRule="auto"/>
        <w:jc w:val="both"/>
      </w:pPr>
      <w:r>
        <w:rPr>
          <w:rFonts w:ascii="Calibri" w:eastAsia="Calibri" w:hAnsi="Calibri" w:cs="Calibri"/>
          <w:color w:val="3B3B3B"/>
        </w:rPr>
        <w:t>Throughout its years of operation, the firm has successfully built diverse and specialized expertise, enabling it to handle projects across various planning levels. This ranges from strategic planning at the national and regional levels to strategic planning for cities and villages, culminating in the preparation of urban and detailed master plans for new cities, urban communities, and mixed-use developments.</w:t>
      </w:r>
    </w:p>
    <w:p w14:paraId="71D5A465" w14:textId="77777777" w:rsidR="00561093" w:rsidRDefault="00000000">
      <w:pPr>
        <w:keepLines/>
        <w:spacing w:after="30" w:line="215" w:lineRule="auto"/>
        <w:jc w:val="both"/>
      </w:pPr>
      <w:r>
        <w:rPr>
          <w:rFonts w:ascii="Calibri" w:eastAsia="Calibri" w:hAnsi="Calibri" w:cs="Calibri"/>
          <w:color w:val="3B3B3B"/>
        </w:rPr>
        <w:t>Our expertise encompasses preparing and developing master plans for various types of communities and developments, including residential, commercial, touristic, recreational, and administrative projects, alongside integrated development projects that demand a comprehensive planning vision and seamless multidisciplinary coordination.</w:t>
      </w:r>
    </w:p>
    <w:p w14:paraId="2C109EB2" w14:textId="77777777" w:rsidR="00561093" w:rsidRDefault="00000000">
      <w:pPr>
        <w:keepNext/>
        <w:keepLines/>
        <w:pBdr>
          <w:bottom w:val="single" w:sz="8" w:space="4" w:color="A6A6A6"/>
        </w:pBdr>
        <w:spacing w:before="55" w:after="25"/>
      </w:pPr>
      <w:r>
        <w:rPr>
          <w:rFonts w:ascii="Calibri" w:eastAsia="Calibri" w:hAnsi="Calibri" w:cs="Calibri"/>
          <w:b/>
          <w:bCs/>
          <w:color w:val="434343"/>
          <w:spacing w:val="10"/>
          <w:sz w:val="24"/>
          <w:szCs w:val="24"/>
        </w:rPr>
        <w:t>SPECIALIZED EXPERTISE IN URBAN DEVELOPMENT</w:t>
      </w:r>
    </w:p>
    <w:p w14:paraId="14A4CAA3" w14:textId="77777777" w:rsidR="00561093" w:rsidRDefault="00000000">
      <w:pPr>
        <w:keepNext/>
        <w:keepLines/>
        <w:spacing w:after="30" w:line="215" w:lineRule="auto"/>
        <w:jc w:val="both"/>
      </w:pPr>
      <w:r>
        <w:rPr>
          <w:rFonts w:ascii="Calibri" w:eastAsia="Calibri" w:hAnsi="Calibri" w:cs="Calibri"/>
          <w:color w:val="3B3B3B"/>
        </w:rPr>
        <w:t>Geomatics House possesses distinguished expertise in urban development and upgrading, the rehabilitation of existing and historic areas, and the management of areas with a special nature. This is achieved by formulating planning visions and solutions that carefully consider the urban, economic, social, and environmental characteristics of each specific area.</w:t>
      </w:r>
    </w:p>
    <w:p w14:paraId="10FE9CFE" w14:textId="77777777" w:rsidR="00561093" w:rsidRDefault="00000000">
      <w:pPr>
        <w:keepLines/>
        <w:spacing w:after="30" w:line="215" w:lineRule="auto"/>
        <w:jc w:val="both"/>
      </w:pPr>
      <w:r>
        <w:rPr>
          <w:rFonts w:ascii="Calibri" w:eastAsia="Calibri" w:hAnsi="Calibri" w:cs="Calibri"/>
          <w:color w:val="3B3B3B"/>
        </w:rPr>
        <w:t>In this domain, the firm adopts a holistic approach aimed at maximizing land-use efficiency, improving the quality of the urban environment, optimizing available resources and potentials, and striking a delicate balance between development requirements and the preservation of urban and environmental identity.</w:t>
      </w:r>
    </w:p>
    <w:p w14:paraId="12D98495" w14:textId="77777777" w:rsidR="00561093" w:rsidRDefault="00000000">
      <w:pPr>
        <w:keepNext/>
        <w:keepLines/>
        <w:pBdr>
          <w:bottom w:val="single" w:sz="8" w:space="4" w:color="A6A6A6"/>
        </w:pBdr>
        <w:spacing w:before="55" w:after="25"/>
      </w:pPr>
      <w:r>
        <w:rPr>
          <w:rFonts w:ascii="Calibri" w:eastAsia="Calibri" w:hAnsi="Calibri" w:cs="Calibri"/>
          <w:b/>
          <w:bCs/>
          <w:color w:val="434343"/>
          <w:spacing w:val="10"/>
          <w:sz w:val="24"/>
          <w:szCs w:val="24"/>
        </w:rPr>
        <w:t>AN INTEGRATED TEAM</w:t>
      </w:r>
    </w:p>
    <w:p w14:paraId="3DC00678" w14:textId="77777777" w:rsidR="00561093" w:rsidRDefault="00000000">
      <w:pPr>
        <w:keepNext/>
        <w:keepLines/>
        <w:spacing w:after="30" w:line="215" w:lineRule="auto"/>
        <w:jc w:val="both"/>
      </w:pPr>
      <w:r>
        <w:rPr>
          <w:rFonts w:ascii="Calibri" w:eastAsia="Calibri" w:hAnsi="Calibri" w:cs="Calibri"/>
          <w:color w:val="3B3B3B"/>
        </w:rPr>
        <w:t>The strength of Geomatics House lies in an integrated team of experts, consultants, and specialists across various fields of planning, engineering, and urban development. This empowers the firm to deliver comprehensive solutions for projects of all sizes and complexities.</w:t>
      </w:r>
    </w:p>
    <w:p w14:paraId="0AC5083B" w14:textId="77777777" w:rsidR="00561093" w:rsidRDefault="00000000">
      <w:pPr>
        <w:keepLines/>
        <w:spacing w:after="30" w:line="215" w:lineRule="auto"/>
        <w:jc w:val="both"/>
      </w:pPr>
      <w:r>
        <w:rPr>
          <w:rFonts w:ascii="Calibri" w:eastAsia="Calibri" w:hAnsi="Calibri" w:cs="Calibri"/>
          <w:color w:val="3B3B3B"/>
        </w:rPr>
        <w:t>Our team operates within a framework rooted in multidisciplinary integration, knowledge exchange, and precise coordination, guaranteeing the highest levels of quality and efficiency across all project phases.</w:t>
      </w:r>
    </w:p>
    <w:p w14:paraId="43D982B8" w14:textId="77777777" w:rsidR="00561093" w:rsidRDefault="00000000">
      <w:pPr>
        <w:keepNext/>
        <w:keepLines/>
        <w:pBdr>
          <w:bottom w:val="single" w:sz="8" w:space="4" w:color="A6A6A6"/>
        </w:pBdr>
        <w:spacing w:before="55" w:after="25"/>
      </w:pPr>
      <w:r>
        <w:rPr>
          <w:rFonts w:ascii="Calibri" w:eastAsia="Calibri" w:hAnsi="Calibri" w:cs="Calibri"/>
          <w:b/>
          <w:bCs/>
          <w:color w:val="434343"/>
          <w:spacing w:val="10"/>
          <w:sz w:val="24"/>
          <w:szCs w:val="24"/>
        </w:rPr>
        <w:t>PROJECT MANAGEMENT &amp; MULTIDISCIPLINARY COORDINATION</w:t>
      </w:r>
    </w:p>
    <w:p w14:paraId="0A78AB08" w14:textId="77777777" w:rsidR="00561093" w:rsidRDefault="00000000">
      <w:pPr>
        <w:keepNext/>
        <w:keepLines/>
        <w:spacing w:after="30" w:line="215" w:lineRule="auto"/>
        <w:jc w:val="both"/>
      </w:pPr>
      <w:r>
        <w:rPr>
          <w:rFonts w:ascii="Calibri" w:eastAsia="Calibri" w:hAnsi="Calibri" w:cs="Calibri"/>
          <w:color w:val="3B3B3B"/>
        </w:rPr>
        <w:t>The firm holds extensive experience in project management and coordination among diverse planning and engineering disciplines, ensuring absolute integration among studies, master plans, designs, and all project components.</w:t>
      </w:r>
    </w:p>
    <w:p w14:paraId="524611BF" w14:textId="77777777" w:rsidR="00561093" w:rsidRDefault="00000000">
      <w:pPr>
        <w:keepLines/>
        <w:spacing w:after="30" w:line="215" w:lineRule="auto"/>
        <w:jc w:val="both"/>
        <w:rPr>
          <w:rFonts w:ascii="Calibri" w:eastAsia="Calibri" w:hAnsi="Calibri" w:cs="Calibri"/>
          <w:color w:val="3B3B3B"/>
          <w:rtl/>
        </w:rPr>
      </w:pPr>
      <w:r>
        <w:rPr>
          <w:rFonts w:ascii="Calibri" w:eastAsia="Calibri" w:hAnsi="Calibri" w:cs="Calibri"/>
          <w:color w:val="3B3B3B"/>
        </w:rPr>
        <w:t>We adopt a professional approach in managing and coordinating operations, striving to enhance performance efficiency, elevate output quality, minimize multidisciplinary conflicts, and achieve project objectives strictly within the specified timeframes and economic parameters.</w:t>
      </w:r>
    </w:p>
    <w:p w14:paraId="44F31819" w14:textId="373DB240" w:rsidR="00656F20" w:rsidRDefault="00656F20">
      <w:pPr>
        <w:keepLines/>
        <w:spacing w:after="30" w:line="215" w:lineRule="auto"/>
        <w:jc w:val="both"/>
      </w:pPr>
      <w:r w:rsidRPr="00656F20">
        <w:rPr>
          <w:noProof/>
        </w:rPr>
        <w:drawing>
          <wp:inline distT="0" distB="0" distL="0" distR="0" wp14:anchorId="34ED4881" wp14:editId="6B51150F">
            <wp:extent cx="9930130" cy="596265"/>
            <wp:effectExtent l="0" t="0" r="0" b="0"/>
            <wp:docPr id="17946632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30130" cy="596265"/>
                    </a:xfrm>
                    <a:prstGeom prst="rect">
                      <a:avLst/>
                    </a:prstGeom>
                    <a:noFill/>
                    <a:ln>
                      <a:noFill/>
                    </a:ln>
                  </pic:spPr>
                </pic:pic>
              </a:graphicData>
            </a:graphic>
          </wp:inline>
        </w:drawing>
      </w:r>
      <w:r w:rsidRPr="00656F20">
        <w:rPr>
          <w:noProof/>
        </w:rPr>
        <w:drawing>
          <wp:inline distT="0" distB="0" distL="0" distR="0" wp14:anchorId="4395BA06" wp14:editId="74FA189B">
            <wp:extent cx="9930130" cy="610870"/>
            <wp:effectExtent l="0" t="0" r="0" b="0"/>
            <wp:docPr id="13667090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30130" cy="610870"/>
                    </a:xfrm>
                    <a:prstGeom prst="rect">
                      <a:avLst/>
                    </a:prstGeom>
                    <a:noFill/>
                    <a:ln>
                      <a:noFill/>
                    </a:ln>
                  </pic:spPr>
                </pic:pic>
              </a:graphicData>
            </a:graphic>
          </wp:inline>
        </w:drawing>
      </w:r>
    </w:p>
    <w:p w14:paraId="65239CEF" w14:textId="77777777" w:rsidR="00561093" w:rsidRDefault="00000000">
      <w:pPr>
        <w:keepNext/>
        <w:keepLines/>
        <w:pageBreakBefore/>
        <w:pBdr>
          <w:bottom w:val="single" w:sz="8" w:space="4" w:color="A6A6A6"/>
        </w:pBdr>
        <w:spacing w:before="55" w:after="25"/>
      </w:pPr>
      <w:r>
        <w:rPr>
          <w:rFonts w:ascii="Calibri" w:eastAsia="Calibri" w:hAnsi="Calibri" w:cs="Calibri"/>
          <w:b/>
          <w:bCs/>
          <w:color w:val="434343"/>
          <w:spacing w:val="10"/>
          <w:sz w:val="24"/>
          <w:szCs w:val="24"/>
        </w:rPr>
        <w:lastRenderedPageBreak/>
        <w:t>SCOPE OF EXPERTISE</w:t>
      </w:r>
    </w:p>
    <w:p w14:paraId="224860C8" w14:textId="77777777" w:rsidR="00561093" w:rsidRDefault="00000000">
      <w:pPr>
        <w:keepNext/>
        <w:keepLines/>
        <w:spacing w:after="30" w:line="215" w:lineRule="auto"/>
        <w:jc w:val="both"/>
      </w:pPr>
      <w:r>
        <w:rPr>
          <w:rFonts w:ascii="Calibri" w:eastAsia="Calibri" w:hAnsi="Calibri" w:cs="Calibri"/>
          <w:color w:val="3B3B3B"/>
        </w:rPr>
        <w:t>The expertise of Geomatics House spans a broad spectrum of planning levels and disciplines, most notably:</w:t>
      </w:r>
    </w:p>
    <w:tbl>
      <w:tblPr>
        <w:tblW w:w="11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901"/>
        <w:gridCol w:w="5901"/>
      </w:tblGrid>
      <w:tr w:rsidR="00561093" w14:paraId="28A8084C" w14:textId="77777777" w:rsidTr="00E738A0">
        <w:trPr>
          <w:cantSplit/>
          <w:trHeight w:val="319"/>
        </w:trPr>
        <w:tc>
          <w:tcPr>
            <w:tcW w:w="5901" w:type="dxa"/>
            <w:tcBorders>
              <w:top w:val="none" w:sz="0" w:space="0" w:color="FFFFFF"/>
              <w:left w:val="none" w:sz="0" w:space="0" w:color="FFFFFF"/>
              <w:bottom w:val="none" w:sz="0" w:space="0" w:color="FFFFFF"/>
              <w:right w:val="none" w:sz="0" w:space="0" w:color="FFFFFF"/>
            </w:tcBorders>
            <w:tcMar>
              <w:top w:w="40" w:type="dxa"/>
              <w:left w:w="60" w:type="dxa"/>
              <w:bottom w:w="40" w:type="dxa"/>
              <w:right w:w="200" w:type="dxa"/>
            </w:tcMar>
          </w:tcPr>
          <w:p w14:paraId="4DB597F8" w14:textId="77777777" w:rsidR="00561093" w:rsidRDefault="00000000">
            <w:pPr>
              <w:keepLines/>
              <w:spacing w:after="60"/>
            </w:pPr>
            <w:r>
              <w:rPr>
                <w:rFonts w:ascii="Calibri" w:eastAsia="Calibri" w:hAnsi="Calibri" w:cs="Calibri"/>
                <w:b/>
                <w:bCs/>
                <w:color w:val="A6A6A6"/>
              </w:rPr>
              <w:t xml:space="preserve">— </w:t>
            </w:r>
            <w:r>
              <w:rPr>
                <w:rFonts w:ascii="Calibri" w:eastAsia="Calibri" w:hAnsi="Calibri" w:cs="Calibri"/>
                <w:color w:val="3B3B3B"/>
              </w:rPr>
              <w:t>National and Regional Strategic Planning</w:t>
            </w:r>
          </w:p>
        </w:tc>
        <w:tc>
          <w:tcPr>
            <w:tcW w:w="5901" w:type="dxa"/>
            <w:tcBorders>
              <w:top w:val="none" w:sz="0" w:space="0" w:color="FFFFFF"/>
              <w:left w:val="none" w:sz="0" w:space="0" w:color="FFFFFF"/>
              <w:bottom w:val="none" w:sz="0" w:space="0" w:color="FFFFFF"/>
              <w:right w:val="none" w:sz="0" w:space="0" w:color="FFFFFF"/>
            </w:tcBorders>
            <w:tcMar>
              <w:top w:w="40" w:type="dxa"/>
              <w:left w:w="60" w:type="dxa"/>
              <w:bottom w:w="40" w:type="dxa"/>
              <w:right w:w="60" w:type="dxa"/>
            </w:tcMar>
          </w:tcPr>
          <w:p w14:paraId="4A93F197" w14:textId="77777777" w:rsidR="00561093" w:rsidRDefault="00000000">
            <w:pPr>
              <w:keepLines/>
              <w:spacing w:after="60"/>
            </w:pPr>
            <w:r>
              <w:rPr>
                <w:rFonts w:ascii="Calibri" w:eastAsia="Calibri" w:hAnsi="Calibri" w:cs="Calibri"/>
                <w:b/>
                <w:bCs/>
                <w:color w:val="A6A6A6"/>
              </w:rPr>
              <w:t xml:space="preserve">— </w:t>
            </w:r>
            <w:r>
              <w:rPr>
                <w:rFonts w:ascii="Calibri" w:eastAsia="Calibri" w:hAnsi="Calibri" w:cs="Calibri"/>
                <w:color w:val="3B3B3B"/>
              </w:rPr>
              <w:t>Urban Development and Upgrading Projects</w:t>
            </w:r>
          </w:p>
        </w:tc>
      </w:tr>
      <w:tr w:rsidR="00561093" w14:paraId="3190F3B3" w14:textId="77777777" w:rsidTr="00E738A0">
        <w:trPr>
          <w:cantSplit/>
          <w:trHeight w:val="565"/>
        </w:trPr>
        <w:tc>
          <w:tcPr>
            <w:tcW w:w="5901" w:type="dxa"/>
            <w:tcBorders>
              <w:top w:val="none" w:sz="0" w:space="0" w:color="FFFFFF"/>
              <w:left w:val="none" w:sz="0" w:space="0" w:color="FFFFFF"/>
              <w:bottom w:val="none" w:sz="0" w:space="0" w:color="FFFFFF"/>
              <w:right w:val="none" w:sz="0" w:space="0" w:color="FFFFFF"/>
            </w:tcBorders>
            <w:tcMar>
              <w:top w:w="40" w:type="dxa"/>
              <w:left w:w="60" w:type="dxa"/>
              <w:bottom w:w="40" w:type="dxa"/>
              <w:right w:w="200" w:type="dxa"/>
            </w:tcMar>
          </w:tcPr>
          <w:p w14:paraId="5153084D" w14:textId="77777777" w:rsidR="00561093" w:rsidRDefault="00000000">
            <w:pPr>
              <w:keepLines/>
              <w:spacing w:after="60"/>
            </w:pPr>
            <w:r>
              <w:rPr>
                <w:rFonts w:ascii="Calibri" w:eastAsia="Calibri" w:hAnsi="Calibri" w:cs="Calibri"/>
                <w:b/>
                <w:bCs/>
                <w:color w:val="A6A6A6"/>
              </w:rPr>
              <w:t xml:space="preserve">— </w:t>
            </w:r>
            <w:r>
              <w:rPr>
                <w:rFonts w:ascii="Calibri" w:eastAsia="Calibri" w:hAnsi="Calibri" w:cs="Calibri"/>
                <w:color w:val="3B3B3B"/>
              </w:rPr>
              <w:t>Strategic Planning for Cities and Villages</w:t>
            </w:r>
          </w:p>
        </w:tc>
        <w:tc>
          <w:tcPr>
            <w:tcW w:w="5901" w:type="dxa"/>
            <w:tcBorders>
              <w:top w:val="none" w:sz="0" w:space="0" w:color="FFFFFF"/>
              <w:left w:val="none" w:sz="0" w:space="0" w:color="FFFFFF"/>
              <w:bottom w:val="none" w:sz="0" w:space="0" w:color="FFFFFF"/>
              <w:right w:val="none" w:sz="0" w:space="0" w:color="FFFFFF"/>
            </w:tcBorders>
            <w:tcMar>
              <w:top w:w="40" w:type="dxa"/>
              <w:left w:w="60" w:type="dxa"/>
              <w:bottom w:w="40" w:type="dxa"/>
              <w:right w:w="60" w:type="dxa"/>
            </w:tcMar>
          </w:tcPr>
          <w:p w14:paraId="797250C1" w14:textId="77777777" w:rsidR="00561093" w:rsidRDefault="00000000">
            <w:pPr>
              <w:keepLines/>
              <w:spacing w:after="60"/>
            </w:pPr>
            <w:r>
              <w:rPr>
                <w:rFonts w:ascii="Calibri" w:eastAsia="Calibri" w:hAnsi="Calibri" w:cs="Calibri"/>
                <w:b/>
                <w:bCs/>
                <w:color w:val="A6A6A6"/>
              </w:rPr>
              <w:t xml:space="preserve">— </w:t>
            </w:r>
            <w:r>
              <w:rPr>
                <w:rFonts w:ascii="Calibri" w:eastAsia="Calibri" w:hAnsi="Calibri" w:cs="Calibri"/>
                <w:color w:val="3B3B3B"/>
              </w:rPr>
              <w:t>Rehabilitation and Upgrading of Existing and Historic Areas</w:t>
            </w:r>
          </w:p>
        </w:tc>
      </w:tr>
      <w:tr w:rsidR="00561093" w14:paraId="5A9C69DD" w14:textId="77777777" w:rsidTr="00E738A0">
        <w:trPr>
          <w:cantSplit/>
          <w:trHeight w:val="319"/>
        </w:trPr>
        <w:tc>
          <w:tcPr>
            <w:tcW w:w="5901" w:type="dxa"/>
            <w:tcBorders>
              <w:top w:val="none" w:sz="0" w:space="0" w:color="FFFFFF"/>
              <w:left w:val="none" w:sz="0" w:space="0" w:color="FFFFFF"/>
              <w:bottom w:val="none" w:sz="0" w:space="0" w:color="FFFFFF"/>
              <w:right w:val="none" w:sz="0" w:space="0" w:color="FFFFFF"/>
            </w:tcBorders>
            <w:tcMar>
              <w:top w:w="40" w:type="dxa"/>
              <w:left w:w="60" w:type="dxa"/>
              <w:bottom w:w="40" w:type="dxa"/>
              <w:right w:w="200" w:type="dxa"/>
            </w:tcMar>
          </w:tcPr>
          <w:p w14:paraId="20E1EFF9" w14:textId="77777777" w:rsidR="00561093" w:rsidRDefault="00000000">
            <w:pPr>
              <w:keepLines/>
              <w:spacing w:after="60"/>
            </w:pPr>
            <w:r>
              <w:rPr>
                <w:rFonts w:ascii="Calibri" w:eastAsia="Calibri" w:hAnsi="Calibri" w:cs="Calibri"/>
                <w:b/>
                <w:bCs/>
                <w:color w:val="A6A6A6"/>
              </w:rPr>
              <w:t xml:space="preserve">— </w:t>
            </w:r>
            <w:r>
              <w:rPr>
                <w:rFonts w:ascii="Calibri" w:eastAsia="Calibri" w:hAnsi="Calibri" w:cs="Calibri"/>
                <w:color w:val="3B3B3B"/>
              </w:rPr>
              <w:t>Urban and Detailed Master Plans</w:t>
            </w:r>
          </w:p>
        </w:tc>
        <w:tc>
          <w:tcPr>
            <w:tcW w:w="5901" w:type="dxa"/>
            <w:tcBorders>
              <w:top w:val="none" w:sz="0" w:space="0" w:color="FFFFFF"/>
              <w:left w:val="none" w:sz="0" w:space="0" w:color="FFFFFF"/>
              <w:bottom w:val="none" w:sz="0" w:space="0" w:color="FFFFFF"/>
              <w:right w:val="none" w:sz="0" w:space="0" w:color="FFFFFF"/>
            </w:tcBorders>
            <w:tcMar>
              <w:top w:w="40" w:type="dxa"/>
              <w:left w:w="60" w:type="dxa"/>
              <w:bottom w:w="40" w:type="dxa"/>
              <w:right w:w="60" w:type="dxa"/>
            </w:tcMar>
          </w:tcPr>
          <w:p w14:paraId="16BFE40C" w14:textId="77777777" w:rsidR="00561093" w:rsidRDefault="00000000">
            <w:pPr>
              <w:keepLines/>
              <w:spacing w:after="60"/>
            </w:pPr>
            <w:r>
              <w:rPr>
                <w:rFonts w:ascii="Calibri" w:eastAsia="Calibri" w:hAnsi="Calibri" w:cs="Calibri"/>
                <w:b/>
                <w:bCs/>
                <w:color w:val="A6A6A6"/>
              </w:rPr>
              <w:t xml:space="preserve">— </w:t>
            </w:r>
            <w:r>
              <w:rPr>
                <w:rFonts w:ascii="Calibri" w:eastAsia="Calibri" w:hAnsi="Calibri" w:cs="Calibri"/>
                <w:color w:val="3B3B3B"/>
              </w:rPr>
              <w:t>Development of Areas with a Special Nature</w:t>
            </w:r>
          </w:p>
        </w:tc>
      </w:tr>
      <w:tr w:rsidR="00561093" w14:paraId="27C02A65" w14:textId="77777777" w:rsidTr="00E738A0">
        <w:trPr>
          <w:cantSplit/>
          <w:trHeight w:val="319"/>
        </w:trPr>
        <w:tc>
          <w:tcPr>
            <w:tcW w:w="5901" w:type="dxa"/>
            <w:tcBorders>
              <w:top w:val="none" w:sz="0" w:space="0" w:color="FFFFFF"/>
              <w:left w:val="none" w:sz="0" w:space="0" w:color="FFFFFF"/>
              <w:bottom w:val="none" w:sz="0" w:space="0" w:color="FFFFFF"/>
              <w:right w:val="none" w:sz="0" w:space="0" w:color="FFFFFF"/>
            </w:tcBorders>
            <w:tcMar>
              <w:top w:w="40" w:type="dxa"/>
              <w:left w:w="60" w:type="dxa"/>
              <w:bottom w:w="40" w:type="dxa"/>
              <w:right w:w="200" w:type="dxa"/>
            </w:tcMar>
          </w:tcPr>
          <w:p w14:paraId="3D962465" w14:textId="77777777" w:rsidR="00561093" w:rsidRDefault="00000000">
            <w:pPr>
              <w:keepLines/>
              <w:spacing w:after="60"/>
            </w:pPr>
            <w:r>
              <w:rPr>
                <w:rFonts w:ascii="Calibri" w:eastAsia="Calibri" w:hAnsi="Calibri" w:cs="Calibri"/>
                <w:b/>
                <w:bCs/>
                <w:color w:val="A6A6A6"/>
              </w:rPr>
              <w:t xml:space="preserve">— </w:t>
            </w:r>
            <w:r>
              <w:rPr>
                <w:rFonts w:ascii="Calibri" w:eastAsia="Calibri" w:hAnsi="Calibri" w:cs="Calibri"/>
                <w:color w:val="3B3B3B"/>
              </w:rPr>
              <w:t>Planning of New Cities and Urban Communities</w:t>
            </w:r>
          </w:p>
        </w:tc>
        <w:tc>
          <w:tcPr>
            <w:tcW w:w="5901" w:type="dxa"/>
            <w:tcBorders>
              <w:top w:val="none" w:sz="0" w:space="0" w:color="FFFFFF"/>
              <w:left w:val="none" w:sz="0" w:space="0" w:color="FFFFFF"/>
              <w:bottom w:val="none" w:sz="0" w:space="0" w:color="FFFFFF"/>
              <w:right w:val="none" w:sz="0" w:space="0" w:color="FFFFFF"/>
            </w:tcBorders>
            <w:tcMar>
              <w:top w:w="40" w:type="dxa"/>
              <w:left w:w="60" w:type="dxa"/>
              <w:bottom w:w="40" w:type="dxa"/>
              <w:right w:w="60" w:type="dxa"/>
            </w:tcMar>
          </w:tcPr>
          <w:p w14:paraId="43FEF9C1" w14:textId="77777777" w:rsidR="00561093" w:rsidRDefault="00000000">
            <w:pPr>
              <w:keepLines/>
              <w:spacing w:after="60"/>
            </w:pPr>
            <w:r>
              <w:rPr>
                <w:rFonts w:ascii="Calibri" w:eastAsia="Calibri" w:hAnsi="Calibri" w:cs="Calibri"/>
                <w:b/>
                <w:bCs/>
                <w:color w:val="A6A6A6"/>
              </w:rPr>
              <w:t xml:space="preserve">— </w:t>
            </w:r>
            <w:r>
              <w:rPr>
                <w:rFonts w:ascii="Calibri" w:eastAsia="Calibri" w:hAnsi="Calibri" w:cs="Calibri"/>
                <w:color w:val="3B3B3B"/>
              </w:rPr>
              <w:t>Planning and Developmental Studies</w:t>
            </w:r>
          </w:p>
        </w:tc>
      </w:tr>
      <w:tr w:rsidR="00561093" w14:paraId="7937C58D" w14:textId="77777777" w:rsidTr="00E738A0">
        <w:trPr>
          <w:cantSplit/>
          <w:trHeight w:val="319"/>
        </w:trPr>
        <w:tc>
          <w:tcPr>
            <w:tcW w:w="5901" w:type="dxa"/>
            <w:tcBorders>
              <w:top w:val="none" w:sz="0" w:space="0" w:color="FFFFFF"/>
              <w:left w:val="none" w:sz="0" w:space="0" w:color="FFFFFF"/>
              <w:bottom w:val="none" w:sz="0" w:space="0" w:color="FFFFFF"/>
              <w:right w:val="none" w:sz="0" w:space="0" w:color="FFFFFF"/>
            </w:tcBorders>
            <w:tcMar>
              <w:top w:w="40" w:type="dxa"/>
              <w:left w:w="60" w:type="dxa"/>
              <w:bottom w:w="40" w:type="dxa"/>
              <w:right w:w="200" w:type="dxa"/>
            </w:tcMar>
          </w:tcPr>
          <w:p w14:paraId="122730E6" w14:textId="77777777" w:rsidR="00561093" w:rsidRDefault="00000000">
            <w:pPr>
              <w:keepLines/>
              <w:spacing w:after="60"/>
            </w:pPr>
            <w:r>
              <w:rPr>
                <w:rFonts w:ascii="Calibri" w:eastAsia="Calibri" w:hAnsi="Calibri" w:cs="Calibri"/>
                <w:b/>
                <w:bCs/>
                <w:color w:val="A6A6A6"/>
              </w:rPr>
              <w:t xml:space="preserve">— </w:t>
            </w:r>
            <w:r>
              <w:rPr>
                <w:rFonts w:ascii="Calibri" w:eastAsia="Calibri" w:hAnsi="Calibri" w:cs="Calibri"/>
                <w:color w:val="3B3B3B"/>
              </w:rPr>
              <w:t>Planning of Residential Communities and Projects</w:t>
            </w:r>
          </w:p>
        </w:tc>
        <w:tc>
          <w:tcPr>
            <w:tcW w:w="5901" w:type="dxa"/>
            <w:tcBorders>
              <w:top w:val="none" w:sz="0" w:space="0" w:color="FFFFFF"/>
              <w:left w:val="none" w:sz="0" w:space="0" w:color="FFFFFF"/>
              <w:bottom w:val="none" w:sz="0" w:space="0" w:color="FFFFFF"/>
              <w:right w:val="none" w:sz="0" w:space="0" w:color="FFFFFF"/>
            </w:tcBorders>
            <w:tcMar>
              <w:top w:w="40" w:type="dxa"/>
              <w:left w:w="60" w:type="dxa"/>
              <w:bottom w:w="40" w:type="dxa"/>
              <w:right w:w="60" w:type="dxa"/>
            </w:tcMar>
          </w:tcPr>
          <w:p w14:paraId="048B909F" w14:textId="77777777" w:rsidR="00561093" w:rsidRDefault="00000000">
            <w:pPr>
              <w:keepLines/>
              <w:spacing w:after="60"/>
            </w:pPr>
            <w:r>
              <w:rPr>
                <w:rFonts w:ascii="Calibri" w:eastAsia="Calibri" w:hAnsi="Calibri" w:cs="Calibri"/>
                <w:b/>
                <w:bCs/>
                <w:color w:val="A6A6A6"/>
              </w:rPr>
              <w:t xml:space="preserve">— </w:t>
            </w:r>
            <w:r>
              <w:rPr>
                <w:rFonts w:ascii="Calibri" w:eastAsia="Calibri" w:hAnsi="Calibri" w:cs="Calibri"/>
                <w:color w:val="3B3B3B"/>
              </w:rPr>
              <w:t>Project Management</w:t>
            </w:r>
          </w:p>
        </w:tc>
      </w:tr>
      <w:tr w:rsidR="00561093" w14:paraId="0D5EE7C2" w14:textId="77777777" w:rsidTr="00E738A0">
        <w:trPr>
          <w:cantSplit/>
          <w:trHeight w:val="319"/>
        </w:trPr>
        <w:tc>
          <w:tcPr>
            <w:tcW w:w="5901" w:type="dxa"/>
            <w:tcBorders>
              <w:top w:val="none" w:sz="0" w:space="0" w:color="FFFFFF"/>
              <w:left w:val="none" w:sz="0" w:space="0" w:color="FFFFFF"/>
              <w:bottom w:val="none" w:sz="0" w:space="0" w:color="FFFFFF"/>
              <w:right w:val="none" w:sz="0" w:space="0" w:color="FFFFFF"/>
            </w:tcBorders>
            <w:tcMar>
              <w:top w:w="40" w:type="dxa"/>
              <w:left w:w="60" w:type="dxa"/>
              <w:bottom w:w="40" w:type="dxa"/>
              <w:right w:w="200" w:type="dxa"/>
            </w:tcMar>
          </w:tcPr>
          <w:p w14:paraId="6BA2AF5A" w14:textId="77777777" w:rsidR="00561093" w:rsidRDefault="00000000">
            <w:pPr>
              <w:keepLines/>
              <w:spacing w:after="60"/>
            </w:pPr>
            <w:r>
              <w:rPr>
                <w:rFonts w:ascii="Calibri" w:eastAsia="Calibri" w:hAnsi="Calibri" w:cs="Calibri"/>
                <w:b/>
                <w:bCs/>
                <w:color w:val="A6A6A6"/>
              </w:rPr>
              <w:t xml:space="preserve">— </w:t>
            </w:r>
            <w:r>
              <w:rPr>
                <w:rFonts w:ascii="Calibri" w:eastAsia="Calibri" w:hAnsi="Calibri" w:cs="Calibri"/>
                <w:color w:val="3B3B3B"/>
              </w:rPr>
              <w:t>Commercial and Administrative Projects</w:t>
            </w:r>
          </w:p>
        </w:tc>
        <w:tc>
          <w:tcPr>
            <w:tcW w:w="5901" w:type="dxa"/>
            <w:tcBorders>
              <w:top w:val="none" w:sz="0" w:space="0" w:color="FFFFFF"/>
              <w:left w:val="none" w:sz="0" w:space="0" w:color="FFFFFF"/>
              <w:bottom w:val="none" w:sz="0" w:space="0" w:color="FFFFFF"/>
              <w:right w:val="none" w:sz="0" w:space="0" w:color="FFFFFF"/>
            </w:tcBorders>
            <w:tcMar>
              <w:top w:w="40" w:type="dxa"/>
              <w:left w:w="60" w:type="dxa"/>
              <w:bottom w:w="40" w:type="dxa"/>
              <w:right w:w="60" w:type="dxa"/>
            </w:tcMar>
          </w:tcPr>
          <w:p w14:paraId="5B2DF6B8" w14:textId="77777777" w:rsidR="00561093" w:rsidRDefault="00000000">
            <w:pPr>
              <w:keepLines/>
              <w:spacing w:after="60"/>
            </w:pPr>
            <w:r>
              <w:rPr>
                <w:rFonts w:ascii="Calibri" w:eastAsia="Calibri" w:hAnsi="Calibri" w:cs="Calibri"/>
                <w:b/>
                <w:bCs/>
                <w:color w:val="A6A6A6"/>
              </w:rPr>
              <w:t xml:space="preserve">— </w:t>
            </w:r>
            <w:r>
              <w:rPr>
                <w:rFonts w:ascii="Calibri" w:eastAsia="Calibri" w:hAnsi="Calibri" w:cs="Calibri"/>
                <w:color w:val="3B3B3B"/>
              </w:rPr>
              <w:t>Multidisciplinary Coordination</w:t>
            </w:r>
          </w:p>
        </w:tc>
      </w:tr>
      <w:tr w:rsidR="00561093" w14:paraId="694677B0" w14:textId="77777777" w:rsidTr="00E738A0">
        <w:trPr>
          <w:cantSplit/>
          <w:trHeight w:val="578"/>
        </w:trPr>
        <w:tc>
          <w:tcPr>
            <w:tcW w:w="5901" w:type="dxa"/>
            <w:tcBorders>
              <w:top w:val="none" w:sz="0" w:space="0" w:color="FFFFFF"/>
              <w:left w:val="none" w:sz="0" w:space="0" w:color="FFFFFF"/>
              <w:bottom w:val="none" w:sz="0" w:space="0" w:color="FFFFFF"/>
              <w:right w:val="none" w:sz="0" w:space="0" w:color="FFFFFF"/>
            </w:tcBorders>
            <w:tcMar>
              <w:top w:w="40" w:type="dxa"/>
              <w:left w:w="60" w:type="dxa"/>
              <w:bottom w:w="40" w:type="dxa"/>
              <w:right w:w="200" w:type="dxa"/>
            </w:tcMar>
          </w:tcPr>
          <w:p w14:paraId="0CEDBB12" w14:textId="77777777" w:rsidR="00561093" w:rsidRDefault="00000000">
            <w:pPr>
              <w:keepLines/>
              <w:spacing w:after="60"/>
            </w:pPr>
            <w:r>
              <w:rPr>
                <w:rFonts w:ascii="Calibri" w:eastAsia="Calibri" w:hAnsi="Calibri" w:cs="Calibri"/>
                <w:b/>
                <w:bCs/>
                <w:color w:val="A6A6A6"/>
              </w:rPr>
              <w:t xml:space="preserve">— </w:t>
            </w:r>
            <w:r>
              <w:rPr>
                <w:rFonts w:ascii="Calibri" w:eastAsia="Calibri" w:hAnsi="Calibri" w:cs="Calibri"/>
                <w:color w:val="3B3B3B"/>
              </w:rPr>
              <w:t>Touristic and Recreational Projects</w:t>
            </w:r>
          </w:p>
        </w:tc>
        <w:tc>
          <w:tcPr>
            <w:tcW w:w="5901" w:type="dxa"/>
            <w:tcBorders>
              <w:top w:val="none" w:sz="0" w:space="0" w:color="FFFFFF"/>
              <w:left w:val="none" w:sz="0" w:space="0" w:color="FFFFFF"/>
              <w:bottom w:val="none" w:sz="0" w:space="0" w:color="FFFFFF"/>
              <w:right w:val="none" w:sz="0" w:space="0" w:color="FFFFFF"/>
            </w:tcBorders>
            <w:tcMar>
              <w:top w:w="40" w:type="dxa"/>
              <w:left w:w="60" w:type="dxa"/>
              <w:bottom w:w="40" w:type="dxa"/>
              <w:right w:w="60" w:type="dxa"/>
            </w:tcMar>
          </w:tcPr>
          <w:p w14:paraId="172E60DB" w14:textId="77777777" w:rsidR="00561093" w:rsidRDefault="00000000">
            <w:pPr>
              <w:keepLines/>
              <w:spacing w:after="60"/>
            </w:pPr>
            <w:r>
              <w:rPr>
                <w:rFonts w:ascii="Calibri" w:eastAsia="Calibri" w:hAnsi="Calibri" w:cs="Calibri"/>
                <w:b/>
                <w:bCs/>
                <w:color w:val="A6A6A6"/>
              </w:rPr>
              <w:t xml:space="preserve">— </w:t>
            </w:r>
            <w:r>
              <w:rPr>
                <w:rFonts w:ascii="Calibri" w:eastAsia="Calibri" w:hAnsi="Calibri" w:cs="Calibri"/>
                <w:color w:val="3B3B3B"/>
              </w:rPr>
              <w:t>Supporting and Developing Sustainable Development Systems</w:t>
            </w:r>
          </w:p>
        </w:tc>
      </w:tr>
    </w:tbl>
    <w:p w14:paraId="06A61C97" w14:textId="6AB93CD6" w:rsidR="00561093" w:rsidRDefault="00000000" w:rsidP="00656F20">
      <w:pPr>
        <w:keepNext/>
        <w:keepLines/>
        <w:pBdr>
          <w:bottom w:val="single" w:sz="8" w:space="4" w:color="A6A6A6"/>
        </w:pBdr>
        <w:spacing w:before="55" w:after="25"/>
      </w:pPr>
      <w:r>
        <w:rPr>
          <w:rFonts w:ascii="Calibri" w:eastAsia="Calibri" w:hAnsi="Calibri" w:cs="Calibri"/>
          <w:b/>
          <w:bCs/>
          <w:color w:val="434343"/>
          <w:spacing w:val="10"/>
          <w:sz w:val="24"/>
          <w:szCs w:val="24"/>
        </w:rPr>
        <w:t>OUR VALUES</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52"/>
        <w:gridCol w:w="1453"/>
        <w:gridCol w:w="1453"/>
        <w:gridCol w:w="1453"/>
        <w:gridCol w:w="1453"/>
        <w:gridCol w:w="1453"/>
        <w:gridCol w:w="1453"/>
      </w:tblGrid>
      <w:tr w:rsidR="00561093" w14:paraId="6FBB8582" w14:textId="77777777">
        <w:trPr>
          <w:cantSplit/>
        </w:trPr>
        <w:tc>
          <w:tcPr>
            <w:tcW w:w="1452" w:type="dxa"/>
            <w:shd w:val="clear" w:color="auto" w:fill="434343"/>
            <w:tcMar>
              <w:top w:w="80" w:type="dxa"/>
              <w:left w:w="60" w:type="dxa"/>
              <w:bottom w:w="80" w:type="dxa"/>
              <w:right w:w="60" w:type="dxa"/>
            </w:tcMar>
            <w:vAlign w:val="center"/>
          </w:tcPr>
          <w:p w14:paraId="2DA37000" w14:textId="77777777" w:rsidR="00561093" w:rsidRDefault="00000000">
            <w:pPr>
              <w:jc w:val="center"/>
            </w:pPr>
            <w:r>
              <w:rPr>
                <w:rFonts w:ascii="Calibri" w:eastAsia="Calibri" w:hAnsi="Calibri" w:cs="Calibri"/>
                <w:b/>
                <w:bCs/>
                <w:color w:val="FFFFFF"/>
                <w:sz w:val="16"/>
                <w:szCs w:val="16"/>
              </w:rPr>
              <w:t>Experience</w:t>
            </w:r>
          </w:p>
        </w:tc>
        <w:tc>
          <w:tcPr>
            <w:tcW w:w="1452" w:type="dxa"/>
            <w:shd w:val="clear" w:color="auto" w:fill="434343"/>
            <w:tcMar>
              <w:top w:w="80" w:type="dxa"/>
              <w:left w:w="60" w:type="dxa"/>
              <w:bottom w:w="80" w:type="dxa"/>
              <w:right w:w="60" w:type="dxa"/>
            </w:tcMar>
            <w:vAlign w:val="center"/>
          </w:tcPr>
          <w:p w14:paraId="720C6ABE" w14:textId="77777777" w:rsidR="00561093" w:rsidRDefault="00000000">
            <w:pPr>
              <w:jc w:val="center"/>
            </w:pPr>
            <w:r>
              <w:rPr>
                <w:rFonts w:ascii="Calibri" w:eastAsia="Calibri" w:hAnsi="Calibri" w:cs="Calibri"/>
                <w:b/>
                <w:bCs/>
                <w:color w:val="FFFFFF"/>
                <w:sz w:val="16"/>
                <w:szCs w:val="16"/>
              </w:rPr>
              <w:t>Professionalism</w:t>
            </w:r>
          </w:p>
        </w:tc>
        <w:tc>
          <w:tcPr>
            <w:tcW w:w="1452" w:type="dxa"/>
            <w:shd w:val="clear" w:color="auto" w:fill="434343"/>
            <w:tcMar>
              <w:top w:w="80" w:type="dxa"/>
              <w:left w:w="60" w:type="dxa"/>
              <w:bottom w:w="80" w:type="dxa"/>
              <w:right w:w="60" w:type="dxa"/>
            </w:tcMar>
            <w:vAlign w:val="center"/>
          </w:tcPr>
          <w:p w14:paraId="6167E472" w14:textId="77777777" w:rsidR="00561093" w:rsidRDefault="00000000">
            <w:pPr>
              <w:jc w:val="center"/>
            </w:pPr>
            <w:r>
              <w:rPr>
                <w:rFonts w:ascii="Calibri" w:eastAsia="Calibri" w:hAnsi="Calibri" w:cs="Calibri"/>
                <w:b/>
                <w:bCs/>
                <w:color w:val="FFFFFF"/>
                <w:sz w:val="16"/>
                <w:szCs w:val="16"/>
              </w:rPr>
              <w:t>Innovation</w:t>
            </w:r>
          </w:p>
        </w:tc>
        <w:tc>
          <w:tcPr>
            <w:tcW w:w="1452" w:type="dxa"/>
            <w:shd w:val="clear" w:color="auto" w:fill="434343"/>
            <w:tcMar>
              <w:top w:w="80" w:type="dxa"/>
              <w:left w:w="60" w:type="dxa"/>
              <w:bottom w:w="80" w:type="dxa"/>
              <w:right w:w="60" w:type="dxa"/>
            </w:tcMar>
            <w:vAlign w:val="center"/>
          </w:tcPr>
          <w:p w14:paraId="69B3D921" w14:textId="079E9D37" w:rsidR="00561093" w:rsidRDefault="00000000">
            <w:pPr>
              <w:jc w:val="center"/>
            </w:pPr>
            <w:r>
              <w:rPr>
                <w:rFonts w:ascii="Calibri" w:eastAsia="Calibri" w:hAnsi="Calibri" w:cs="Calibri"/>
                <w:b/>
                <w:bCs/>
                <w:color w:val="FFFFFF"/>
                <w:sz w:val="16"/>
                <w:szCs w:val="16"/>
              </w:rPr>
              <w:t>Integration</w:t>
            </w:r>
          </w:p>
        </w:tc>
        <w:tc>
          <w:tcPr>
            <w:tcW w:w="1452" w:type="dxa"/>
            <w:shd w:val="clear" w:color="auto" w:fill="434343"/>
            <w:tcMar>
              <w:top w:w="80" w:type="dxa"/>
              <w:left w:w="60" w:type="dxa"/>
              <w:bottom w:w="80" w:type="dxa"/>
              <w:right w:w="60" w:type="dxa"/>
            </w:tcMar>
            <w:vAlign w:val="center"/>
          </w:tcPr>
          <w:p w14:paraId="339DC086" w14:textId="77777777" w:rsidR="00561093" w:rsidRDefault="00000000">
            <w:pPr>
              <w:jc w:val="center"/>
            </w:pPr>
            <w:r>
              <w:rPr>
                <w:rFonts w:ascii="Calibri" w:eastAsia="Calibri" w:hAnsi="Calibri" w:cs="Calibri"/>
                <w:b/>
                <w:bCs/>
                <w:color w:val="FFFFFF"/>
                <w:sz w:val="16"/>
                <w:szCs w:val="16"/>
              </w:rPr>
              <w:t>Quality</w:t>
            </w:r>
          </w:p>
        </w:tc>
        <w:tc>
          <w:tcPr>
            <w:tcW w:w="1452" w:type="dxa"/>
            <w:shd w:val="clear" w:color="auto" w:fill="434343"/>
            <w:tcMar>
              <w:top w:w="80" w:type="dxa"/>
              <w:left w:w="60" w:type="dxa"/>
              <w:bottom w:w="80" w:type="dxa"/>
              <w:right w:w="60" w:type="dxa"/>
            </w:tcMar>
            <w:vAlign w:val="center"/>
          </w:tcPr>
          <w:p w14:paraId="45EF9FFC" w14:textId="77777777" w:rsidR="00561093" w:rsidRDefault="00000000">
            <w:pPr>
              <w:jc w:val="center"/>
            </w:pPr>
            <w:r>
              <w:rPr>
                <w:rFonts w:ascii="Calibri" w:eastAsia="Calibri" w:hAnsi="Calibri" w:cs="Calibri"/>
                <w:b/>
                <w:bCs/>
                <w:color w:val="FFFFFF"/>
                <w:sz w:val="16"/>
                <w:szCs w:val="16"/>
              </w:rPr>
              <w:t>Sustainability</w:t>
            </w:r>
          </w:p>
        </w:tc>
        <w:tc>
          <w:tcPr>
            <w:tcW w:w="1452" w:type="dxa"/>
            <w:shd w:val="clear" w:color="auto" w:fill="434343"/>
            <w:tcMar>
              <w:top w:w="80" w:type="dxa"/>
              <w:left w:w="60" w:type="dxa"/>
              <w:bottom w:w="80" w:type="dxa"/>
              <w:right w:w="60" w:type="dxa"/>
            </w:tcMar>
            <w:vAlign w:val="center"/>
          </w:tcPr>
          <w:p w14:paraId="14D94F15" w14:textId="77777777" w:rsidR="00561093" w:rsidRDefault="00000000">
            <w:pPr>
              <w:jc w:val="center"/>
            </w:pPr>
            <w:r>
              <w:rPr>
                <w:rFonts w:ascii="Calibri" w:eastAsia="Calibri" w:hAnsi="Calibri" w:cs="Calibri"/>
                <w:b/>
                <w:bCs/>
                <w:color w:val="FFFFFF"/>
                <w:sz w:val="16"/>
                <w:szCs w:val="16"/>
              </w:rPr>
              <w:t>Commitment</w:t>
            </w:r>
          </w:p>
        </w:tc>
      </w:tr>
    </w:tbl>
    <w:p w14:paraId="5B19AF49" w14:textId="77777777" w:rsidR="00656F20" w:rsidRDefault="00656F20">
      <w:pPr>
        <w:keepNext/>
        <w:keepLines/>
        <w:pBdr>
          <w:bottom w:val="single" w:sz="8" w:space="4" w:color="A6A6A6"/>
        </w:pBdr>
        <w:spacing w:before="55" w:after="25"/>
        <w:rPr>
          <w:rFonts w:ascii="Calibri" w:eastAsia="Calibri" w:hAnsi="Calibri" w:cs="Calibri"/>
          <w:b/>
          <w:bCs/>
          <w:color w:val="434343"/>
          <w:spacing w:val="10"/>
          <w:sz w:val="24"/>
          <w:szCs w:val="24"/>
          <w:rtl/>
        </w:rPr>
      </w:pPr>
    </w:p>
    <w:p w14:paraId="07FDC4DD" w14:textId="266DBDDE" w:rsidR="00561093" w:rsidRDefault="00000000">
      <w:pPr>
        <w:keepNext/>
        <w:keepLines/>
        <w:pBdr>
          <w:bottom w:val="single" w:sz="8" w:space="4" w:color="A6A6A6"/>
        </w:pBdr>
        <w:spacing w:before="55" w:after="25"/>
      </w:pPr>
      <w:r>
        <w:rPr>
          <w:rFonts w:ascii="Calibri" w:eastAsia="Calibri" w:hAnsi="Calibri" w:cs="Calibri"/>
          <w:b/>
          <w:bCs/>
          <w:color w:val="434343"/>
          <w:spacing w:val="10"/>
          <w:sz w:val="24"/>
          <w:szCs w:val="24"/>
        </w:rPr>
        <w:t>OUR CLIENTS</w:t>
      </w:r>
    </w:p>
    <w:p w14:paraId="2D7616D9" w14:textId="6434F344" w:rsidR="00561093" w:rsidRDefault="00000000">
      <w:pPr>
        <w:keepNext/>
        <w:keepLines/>
        <w:spacing w:after="30" w:line="215" w:lineRule="auto"/>
        <w:jc w:val="both"/>
      </w:pPr>
      <w:r>
        <w:rPr>
          <w:rFonts w:ascii="Calibri" w:eastAsia="Calibri" w:hAnsi="Calibri" w:cs="Calibri"/>
          <w:color w:val="3B3B3B"/>
        </w:rPr>
        <w:t>We are proud to have earned the trust of leading government authorities and real-estate developers across the region, including:</w:t>
      </w:r>
    </w:p>
    <w:tbl>
      <w:tblPr>
        <w:tblW w:w="15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8"/>
        <w:gridCol w:w="2877"/>
        <w:gridCol w:w="2885"/>
        <w:gridCol w:w="2386"/>
        <w:gridCol w:w="2386"/>
        <w:gridCol w:w="2386"/>
      </w:tblGrid>
      <w:tr w:rsidR="00656F20" w14:paraId="03204808" w14:textId="584B4D6F" w:rsidTr="00656F20">
        <w:trPr>
          <w:cantSplit/>
        </w:trPr>
        <w:tc>
          <w:tcPr>
            <w:tcW w:w="2708" w:type="dxa"/>
            <w:tcBorders>
              <w:top w:val="single" w:sz="4" w:space="0" w:color="D9D9D9"/>
              <w:left w:val="single" w:sz="4" w:space="0" w:color="D9D9D9"/>
              <w:bottom w:val="single" w:sz="4" w:space="0" w:color="D9D9D9"/>
              <w:right w:val="single" w:sz="4" w:space="0" w:color="D9D9D9"/>
            </w:tcBorders>
            <w:tcMar>
              <w:top w:w="60" w:type="dxa"/>
              <w:left w:w="120" w:type="dxa"/>
              <w:bottom w:w="60" w:type="dxa"/>
              <w:right w:w="120" w:type="dxa"/>
            </w:tcMar>
            <w:vAlign w:val="center"/>
          </w:tcPr>
          <w:p w14:paraId="26573E07" w14:textId="77777777" w:rsidR="00656F20" w:rsidRDefault="00656F20">
            <w:pPr>
              <w:jc w:val="center"/>
            </w:pPr>
            <w:r>
              <w:rPr>
                <w:noProof/>
              </w:rPr>
              <w:drawing>
                <wp:inline distT="0" distB="0" distL="0" distR="0" wp14:anchorId="3AD132C6" wp14:editId="6EEADAB6">
                  <wp:extent cx="754081" cy="764409"/>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759981" cy="770390"/>
                          </a:xfrm>
                          <a:prstGeom prst="rect">
                            <a:avLst/>
                          </a:prstGeom>
                        </pic:spPr>
                      </pic:pic>
                    </a:graphicData>
                  </a:graphic>
                </wp:inline>
              </w:drawing>
            </w:r>
          </w:p>
        </w:tc>
        <w:tc>
          <w:tcPr>
            <w:tcW w:w="2877" w:type="dxa"/>
            <w:tcBorders>
              <w:top w:val="single" w:sz="4" w:space="0" w:color="D9D9D9"/>
              <w:left w:val="single" w:sz="4" w:space="0" w:color="D9D9D9"/>
              <w:bottom w:val="single" w:sz="4" w:space="0" w:color="D9D9D9"/>
              <w:right w:val="single" w:sz="4" w:space="0" w:color="D9D9D9"/>
            </w:tcBorders>
            <w:tcMar>
              <w:top w:w="60" w:type="dxa"/>
              <w:left w:w="120" w:type="dxa"/>
              <w:bottom w:w="60" w:type="dxa"/>
              <w:right w:w="120" w:type="dxa"/>
            </w:tcMar>
            <w:vAlign w:val="center"/>
          </w:tcPr>
          <w:p w14:paraId="7BF3590C" w14:textId="220866B4" w:rsidR="00656F20" w:rsidRDefault="00656F20">
            <w:pPr>
              <w:jc w:val="center"/>
            </w:pPr>
            <w:r>
              <w:rPr>
                <w:noProof/>
              </w:rPr>
              <w:drawing>
                <wp:inline distT="0" distB="0" distL="0" distR="0" wp14:anchorId="364E7835" wp14:editId="6113CD73">
                  <wp:extent cx="1352740" cy="671830"/>
                  <wp:effectExtent l="0" t="0" r="0" b="0"/>
                  <wp:docPr id="1705860981" name="Picture 1705860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1360804" cy="675835"/>
                          </a:xfrm>
                          <a:prstGeom prst="rect">
                            <a:avLst/>
                          </a:prstGeom>
                        </pic:spPr>
                      </pic:pic>
                    </a:graphicData>
                  </a:graphic>
                </wp:inline>
              </w:drawing>
            </w:r>
          </w:p>
        </w:tc>
        <w:tc>
          <w:tcPr>
            <w:tcW w:w="2885" w:type="dxa"/>
            <w:tcBorders>
              <w:top w:val="single" w:sz="4" w:space="0" w:color="D9D9D9"/>
              <w:left w:val="single" w:sz="4" w:space="0" w:color="D9D9D9"/>
              <w:bottom w:val="single" w:sz="4" w:space="0" w:color="D9D9D9"/>
              <w:right w:val="single" w:sz="4" w:space="0" w:color="D9D9D9"/>
            </w:tcBorders>
            <w:tcMar>
              <w:top w:w="60" w:type="dxa"/>
              <w:left w:w="120" w:type="dxa"/>
              <w:bottom w:w="60" w:type="dxa"/>
              <w:right w:w="120" w:type="dxa"/>
            </w:tcMar>
            <w:vAlign w:val="center"/>
          </w:tcPr>
          <w:p w14:paraId="41AC1EA4" w14:textId="77777777" w:rsidR="00656F20" w:rsidRDefault="00656F20">
            <w:pPr>
              <w:jc w:val="center"/>
            </w:pPr>
            <w:r>
              <w:rPr>
                <w:noProof/>
              </w:rPr>
              <w:drawing>
                <wp:inline distT="0" distB="0" distL="0" distR="0" wp14:anchorId="1F98BC8D" wp14:editId="1A95CBF2">
                  <wp:extent cx="784860" cy="774394"/>
                  <wp:effectExtent l="0" t="0" r="0" b="6985"/>
                  <wp:docPr id="1880210987" name="Picture 1880210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789871" cy="779338"/>
                          </a:xfrm>
                          <a:prstGeom prst="rect">
                            <a:avLst/>
                          </a:prstGeom>
                        </pic:spPr>
                      </pic:pic>
                    </a:graphicData>
                  </a:graphic>
                </wp:inline>
              </w:drawing>
            </w:r>
          </w:p>
        </w:tc>
        <w:tc>
          <w:tcPr>
            <w:tcW w:w="2386" w:type="dxa"/>
            <w:tcBorders>
              <w:top w:val="single" w:sz="4" w:space="0" w:color="D9D9D9"/>
              <w:left w:val="single" w:sz="4" w:space="0" w:color="D9D9D9"/>
              <w:bottom w:val="single" w:sz="4" w:space="0" w:color="D9D9D9"/>
              <w:right w:val="single" w:sz="4" w:space="0" w:color="D9D9D9"/>
            </w:tcBorders>
          </w:tcPr>
          <w:p w14:paraId="5BE66DAB" w14:textId="1D0E5B90" w:rsidR="00656F20" w:rsidRDefault="00656F20">
            <w:pPr>
              <w:jc w:val="center"/>
              <w:rPr>
                <w:noProof/>
              </w:rPr>
            </w:pPr>
            <w:r>
              <w:rPr>
                <w:noProof/>
              </w:rPr>
              <w:drawing>
                <wp:inline distT="0" distB="0" distL="0" distR="0" wp14:anchorId="7221932E" wp14:editId="0A49460B">
                  <wp:extent cx="1173559" cy="818985"/>
                  <wp:effectExtent l="0" t="0" r="7620" b="635"/>
                  <wp:docPr id="977095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5088" cy="861924"/>
                          </a:xfrm>
                          <a:prstGeom prst="rect">
                            <a:avLst/>
                          </a:prstGeom>
                          <a:noFill/>
                          <a:ln>
                            <a:noFill/>
                          </a:ln>
                        </pic:spPr>
                      </pic:pic>
                    </a:graphicData>
                  </a:graphic>
                </wp:inline>
              </w:drawing>
            </w:r>
          </w:p>
        </w:tc>
        <w:tc>
          <w:tcPr>
            <w:tcW w:w="2386" w:type="dxa"/>
            <w:tcBorders>
              <w:top w:val="single" w:sz="4" w:space="0" w:color="D9D9D9"/>
              <w:left w:val="single" w:sz="4" w:space="0" w:color="D9D9D9"/>
              <w:bottom w:val="single" w:sz="4" w:space="0" w:color="D9D9D9"/>
              <w:right w:val="single" w:sz="4" w:space="0" w:color="D9D9D9"/>
            </w:tcBorders>
          </w:tcPr>
          <w:p w14:paraId="320A2ADD" w14:textId="738FDCB7" w:rsidR="00656F20" w:rsidRDefault="00656F20">
            <w:pPr>
              <w:jc w:val="center"/>
              <w:rPr>
                <w:noProof/>
              </w:rPr>
            </w:pPr>
            <w:r>
              <w:rPr>
                <w:noProof/>
              </w:rPr>
              <w:drawing>
                <wp:inline distT="0" distB="0" distL="0" distR="0" wp14:anchorId="23268088" wp14:editId="769DF303">
                  <wp:extent cx="905314" cy="793750"/>
                  <wp:effectExtent l="0" t="0" r="9525" b="6350"/>
                  <wp:docPr id="1776928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0435" cy="824543"/>
                          </a:xfrm>
                          <a:prstGeom prst="rect">
                            <a:avLst/>
                          </a:prstGeom>
                          <a:noFill/>
                          <a:ln>
                            <a:noFill/>
                          </a:ln>
                        </pic:spPr>
                      </pic:pic>
                    </a:graphicData>
                  </a:graphic>
                </wp:inline>
              </w:drawing>
            </w:r>
          </w:p>
        </w:tc>
        <w:tc>
          <w:tcPr>
            <w:tcW w:w="2386" w:type="dxa"/>
            <w:tcBorders>
              <w:top w:val="single" w:sz="4" w:space="0" w:color="D9D9D9"/>
              <w:left w:val="single" w:sz="4" w:space="0" w:color="D9D9D9"/>
              <w:bottom w:val="single" w:sz="4" w:space="0" w:color="D9D9D9"/>
              <w:right w:val="single" w:sz="4" w:space="0" w:color="D9D9D9"/>
            </w:tcBorders>
          </w:tcPr>
          <w:p w14:paraId="4B1B2FC9" w14:textId="04102D0A" w:rsidR="00656F20" w:rsidRDefault="00656F20">
            <w:pPr>
              <w:jc w:val="center"/>
              <w:rPr>
                <w:noProof/>
              </w:rPr>
            </w:pPr>
            <w:r>
              <w:rPr>
                <w:noProof/>
              </w:rPr>
              <w:drawing>
                <wp:inline distT="0" distB="0" distL="0" distR="0" wp14:anchorId="3E479C20" wp14:editId="1C8E409D">
                  <wp:extent cx="582930" cy="793071"/>
                  <wp:effectExtent l="0" t="0" r="7620" b="7620"/>
                  <wp:docPr id="9190878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371" cy="816800"/>
                          </a:xfrm>
                          <a:prstGeom prst="rect">
                            <a:avLst/>
                          </a:prstGeom>
                          <a:noFill/>
                          <a:ln>
                            <a:noFill/>
                          </a:ln>
                        </pic:spPr>
                      </pic:pic>
                    </a:graphicData>
                  </a:graphic>
                </wp:inline>
              </w:drawing>
            </w:r>
          </w:p>
        </w:tc>
      </w:tr>
      <w:tr w:rsidR="00656F20" w14:paraId="6E1AB247" w14:textId="6D050124" w:rsidTr="00656F20">
        <w:trPr>
          <w:cantSplit/>
          <w:trHeight w:val="987"/>
        </w:trPr>
        <w:tc>
          <w:tcPr>
            <w:tcW w:w="2708" w:type="dxa"/>
            <w:tcBorders>
              <w:top w:val="single" w:sz="4" w:space="0" w:color="D9D9D9"/>
              <w:left w:val="single" w:sz="4" w:space="0" w:color="D9D9D9"/>
              <w:bottom w:val="single" w:sz="4" w:space="0" w:color="D9D9D9"/>
              <w:right w:val="single" w:sz="4" w:space="0" w:color="D9D9D9"/>
            </w:tcBorders>
            <w:tcMar>
              <w:top w:w="60" w:type="dxa"/>
              <w:left w:w="120" w:type="dxa"/>
              <w:bottom w:w="60" w:type="dxa"/>
              <w:right w:w="120" w:type="dxa"/>
            </w:tcMar>
            <w:vAlign w:val="center"/>
          </w:tcPr>
          <w:p w14:paraId="08781534" w14:textId="2FEF313D" w:rsidR="00656F20" w:rsidRDefault="00656F20">
            <w:pPr>
              <w:jc w:val="center"/>
            </w:pPr>
            <w:r>
              <w:rPr>
                <w:noProof/>
              </w:rPr>
              <w:drawing>
                <wp:inline distT="0" distB="0" distL="0" distR="0" wp14:anchorId="54C6207D" wp14:editId="44762791">
                  <wp:extent cx="1081577" cy="889296"/>
                  <wp:effectExtent l="0" t="0" r="4445" b="6350"/>
                  <wp:docPr id="1834100479" name="Picture 1834100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1087409" cy="894092"/>
                          </a:xfrm>
                          <a:prstGeom prst="rect">
                            <a:avLst/>
                          </a:prstGeom>
                        </pic:spPr>
                      </pic:pic>
                    </a:graphicData>
                  </a:graphic>
                </wp:inline>
              </w:drawing>
            </w:r>
          </w:p>
        </w:tc>
        <w:tc>
          <w:tcPr>
            <w:tcW w:w="2877" w:type="dxa"/>
            <w:tcBorders>
              <w:top w:val="single" w:sz="4" w:space="0" w:color="D9D9D9"/>
              <w:left w:val="single" w:sz="4" w:space="0" w:color="D9D9D9"/>
              <w:bottom w:val="single" w:sz="4" w:space="0" w:color="D9D9D9"/>
              <w:right w:val="single" w:sz="4" w:space="0" w:color="D9D9D9"/>
            </w:tcBorders>
            <w:tcMar>
              <w:top w:w="60" w:type="dxa"/>
              <w:left w:w="120" w:type="dxa"/>
              <w:bottom w:w="60" w:type="dxa"/>
              <w:right w:w="120" w:type="dxa"/>
            </w:tcMar>
            <w:vAlign w:val="center"/>
          </w:tcPr>
          <w:p w14:paraId="01D22B83" w14:textId="5E655C2E" w:rsidR="00656F20" w:rsidRDefault="00656F20">
            <w:pPr>
              <w:jc w:val="center"/>
            </w:pPr>
            <w:r>
              <w:rPr>
                <w:noProof/>
              </w:rPr>
              <w:drawing>
                <wp:inline distT="0" distB="0" distL="0" distR="0" wp14:anchorId="5A586FDF" wp14:editId="3AAFDE60">
                  <wp:extent cx="1427171" cy="737913"/>
                  <wp:effectExtent l="0" t="0" r="1905" b="5080"/>
                  <wp:docPr id="1156901543" name="Picture 115690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901543" name="Picture 1156901543"/>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1443185" cy="746193"/>
                          </a:xfrm>
                          <a:prstGeom prst="rect">
                            <a:avLst/>
                          </a:prstGeom>
                        </pic:spPr>
                      </pic:pic>
                    </a:graphicData>
                  </a:graphic>
                </wp:inline>
              </w:drawing>
            </w:r>
          </w:p>
        </w:tc>
        <w:tc>
          <w:tcPr>
            <w:tcW w:w="2885" w:type="dxa"/>
            <w:tcBorders>
              <w:top w:val="single" w:sz="4" w:space="0" w:color="D9D9D9"/>
              <w:left w:val="single" w:sz="4" w:space="0" w:color="D9D9D9"/>
              <w:bottom w:val="single" w:sz="4" w:space="0" w:color="D9D9D9"/>
              <w:right w:val="single" w:sz="4" w:space="0" w:color="D9D9D9"/>
            </w:tcBorders>
            <w:tcMar>
              <w:top w:w="60" w:type="dxa"/>
              <w:left w:w="120" w:type="dxa"/>
              <w:bottom w:w="60" w:type="dxa"/>
              <w:right w:w="120" w:type="dxa"/>
            </w:tcMar>
            <w:vAlign w:val="center"/>
          </w:tcPr>
          <w:p w14:paraId="76DBECDC" w14:textId="77777777" w:rsidR="00656F20" w:rsidRDefault="00656F20">
            <w:pPr>
              <w:jc w:val="center"/>
            </w:pPr>
            <w:r>
              <w:rPr>
                <w:noProof/>
              </w:rPr>
              <w:drawing>
                <wp:inline distT="0" distB="0" distL="0" distR="0" wp14:anchorId="630EDC85" wp14:editId="7D8C9A94">
                  <wp:extent cx="1313456" cy="639445"/>
                  <wp:effectExtent l="0" t="0" r="1270" b="8255"/>
                  <wp:docPr id="566679285" name="Picture 566679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1330121" cy="647558"/>
                          </a:xfrm>
                          <a:prstGeom prst="rect">
                            <a:avLst/>
                          </a:prstGeom>
                        </pic:spPr>
                      </pic:pic>
                    </a:graphicData>
                  </a:graphic>
                </wp:inline>
              </w:drawing>
            </w:r>
          </w:p>
        </w:tc>
        <w:tc>
          <w:tcPr>
            <w:tcW w:w="2386" w:type="dxa"/>
            <w:tcBorders>
              <w:top w:val="single" w:sz="4" w:space="0" w:color="D9D9D9"/>
              <w:left w:val="single" w:sz="4" w:space="0" w:color="D9D9D9"/>
              <w:bottom w:val="single" w:sz="4" w:space="0" w:color="D9D9D9"/>
              <w:right w:val="single" w:sz="4" w:space="0" w:color="D9D9D9"/>
            </w:tcBorders>
          </w:tcPr>
          <w:p w14:paraId="7409BB16" w14:textId="557A2AE9" w:rsidR="00656F20" w:rsidRDefault="00656F20">
            <w:pPr>
              <w:jc w:val="center"/>
              <w:rPr>
                <w:noProof/>
              </w:rPr>
            </w:pPr>
            <w:r>
              <w:rPr>
                <w:noProof/>
              </w:rPr>
              <w:drawing>
                <wp:inline distT="0" distB="0" distL="0" distR="0" wp14:anchorId="19306B3B" wp14:editId="6FF79550">
                  <wp:extent cx="1396365" cy="1074367"/>
                  <wp:effectExtent l="0" t="0" r="0" b="0"/>
                  <wp:docPr id="7535060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t="6634" b="8341"/>
                          <a:stretch>
                            <a:fillRect/>
                          </a:stretch>
                        </pic:blipFill>
                        <pic:spPr bwMode="auto">
                          <a:xfrm>
                            <a:off x="0" y="0"/>
                            <a:ext cx="1536551" cy="118222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86" w:type="dxa"/>
            <w:tcBorders>
              <w:top w:val="single" w:sz="4" w:space="0" w:color="D9D9D9"/>
              <w:left w:val="single" w:sz="4" w:space="0" w:color="D9D9D9"/>
              <w:bottom w:val="single" w:sz="4" w:space="0" w:color="D9D9D9"/>
              <w:right w:val="single" w:sz="4" w:space="0" w:color="D9D9D9"/>
            </w:tcBorders>
          </w:tcPr>
          <w:p w14:paraId="345B2252" w14:textId="00B170D2" w:rsidR="00656F20" w:rsidRDefault="00656F20">
            <w:pPr>
              <w:jc w:val="center"/>
              <w:rPr>
                <w:noProof/>
              </w:rPr>
            </w:pPr>
            <w:r>
              <w:rPr>
                <w:noProof/>
              </w:rPr>
              <w:drawing>
                <wp:inline distT="0" distB="0" distL="0" distR="0" wp14:anchorId="04B93D99" wp14:editId="79718F6C">
                  <wp:extent cx="923925" cy="1109137"/>
                  <wp:effectExtent l="0" t="0" r="0" b="0"/>
                  <wp:docPr id="9283072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62232" cy="1155123"/>
                          </a:xfrm>
                          <a:prstGeom prst="rect">
                            <a:avLst/>
                          </a:prstGeom>
                          <a:noFill/>
                          <a:ln>
                            <a:noFill/>
                          </a:ln>
                        </pic:spPr>
                      </pic:pic>
                    </a:graphicData>
                  </a:graphic>
                </wp:inline>
              </w:drawing>
            </w:r>
          </w:p>
        </w:tc>
        <w:tc>
          <w:tcPr>
            <w:tcW w:w="2386" w:type="dxa"/>
            <w:tcBorders>
              <w:top w:val="single" w:sz="4" w:space="0" w:color="D9D9D9"/>
              <w:left w:val="single" w:sz="4" w:space="0" w:color="D9D9D9"/>
              <w:bottom w:val="single" w:sz="4" w:space="0" w:color="D9D9D9"/>
              <w:right w:val="single" w:sz="4" w:space="0" w:color="D9D9D9"/>
            </w:tcBorders>
          </w:tcPr>
          <w:p w14:paraId="274069D9" w14:textId="2BE27E7E" w:rsidR="00656F20" w:rsidRDefault="00656F20">
            <w:pPr>
              <w:jc w:val="center"/>
              <w:rPr>
                <w:noProof/>
              </w:rPr>
            </w:pPr>
            <w:r>
              <w:rPr>
                <w:noProof/>
              </w:rPr>
              <w:drawing>
                <wp:inline distT="0" distB="0" distL="0" distR="0" wp14:anchorId="1F67C11A" wp14:editId="34A5594C">
                  <wp:extent cx="1130550" cy="995680"/>
                  <wp:effectExtent l="0" t="0" r="0" b="0"/>
                  <wp:docPr id="16838070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43520" cy="1007103"/>
                          </a:xfrm>
                          <a:prstGeom prst="rect">
                            <a:avLst/>
                          </a:prstGeom>
                          <a:noFill/>
                          <a:ln>
                            <a:noFill/>
                          </a:ln>
                        </pic:spPr>
                      </pic:pic>
                    </a:graphicData>
                  </a:graphic>
                </wp:inline>
              </w:drawing>
            </w:r>
          </w:p>
        </w:tc>
      </w:tr>
    </w:tbl>
    <w:p w14:paraId="11364F7F" w14:textId="77777777" w:rsidR="00561093" w:rsidRDefault="00000000">
      <w:pPr>
        <w:spacing w:before="60" w:after="20"/>
        <w:jc w:val="center"/>
      </w:pPr>
      <w:r>
        <w:rPr>
          <w:rFonts w:ascii="Calibri" w:eastAsia="Calibri" w:hAnsi="Calibri" w:cs="Calibri"/>
          <w:b/>
          <w:bCs/>
          <w:color w:val="434343"/>
          <w:sz w:val="24"/>
          <w:szCs w:val="24"/>
        </w:rPr>
        <w:t>Geomatics House Engineering Consultants</w:t>
      </w:r>
    </w:p>
    <w:p w14:paraId="6B947ECB" w14:textId="77777777" w:rsidR="00561093" w:rsidRDefault="00000000">
      <w:pPr>
        <w:jc w:val="center"/>
      </w:pPr>
      <w:r>
        <w:rPr>
          <w:rFonts w:ascii="Calibri" w:eastAsia="Calibri" w:hAnsi="Calibri" w:cs="Calibri"/>
          <w:i/>
          <w:iCs/>
          <w:color w:val="A6A6A6"/>
          <w:sz w:val="22"/>
          <w:szCs w:val="22"/>
        </w:rPr>
        <w:t>We plan the space… and craft a vision for the future.</w:t>
      </w:r>
    </w:p>
    <w:sectPr w:rsidR="00561093">
      <w:headerReference w:type="default" r:id="rId21"/>
      <w:footerReference w:type="default" r:id="rId22"/>
      <w:pgSz w:w="16838" w:h="11907" w:orient="landscape"/>
      <w:pgMar w:top="320" w:right="600" w:bottom="320" w:left="600" w:header="250" w:footer="2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13777" w14:textId="77777777" w:rsidR="00945C52" w:rsidRDefault="00945C52">
      <w:r>
        <w:separator/>
      </w:r>
    </w:p>
  </w:endnote>
  <w:endnote w:type="continuationSeparator" w:id="0">
    <w:p w14:paraId="608FFD90" w14:textId="77777777" w:rsidR="00945C52" w:rsidRDefault="00945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3672D" w14:textId="77777777" w:rsidR="00561093" w:rsidRDefault="00000000">
    <w:pPr>
      <w:jc w:val="center"/>
    </w:pPr>
    <w:r>
      <w:rPr>
        <w:rFonts w:ascii="Calibri" w:eastAsia="Calibri" w:hAnsi="Calibri" w:cs="Calibri"/>
        <w:color w:val="3B3B3B"/>
        <w:sz w:val="16"/>
        <w:szCs w:val="16"/>
      </w:rPr>
      <w:t xml:space="preserve">Page </w:t>
    </w:r>
    <w:r>
      <w:rPr>
        <w:rFonts w:ascii="Calibri" w:eastAsia="Calibri" w:hAnsi="Calibri" w:cs="Calibri"/>
        <w:color w:val="3B3B3B"/>
        <w:sz w:val="16"/>
        <w:szCs w:val="16"/>
      </w:rPr>
      <w:fldChar w:fldCharType="begin"/>
    </w:r>
    <w:r>
      <w:rPr>
        <w:rFonts w:ascii="Calibri" w:eastAsia="Calibri" w:hAnsi="Calibri" w:cs="Calibri"/>
        <w:color w:val="3B3B3B"/>
        <w:sz w:val="16"/>
        <w:szCs w:val="16"/>
      </w:rPr>
      <w:instrText>PAGE</w:instrText>
    </w:r>
    <w:r>
      <w:rPr>
        <w:rFonts w:ascii="Calibri" w:eastAsia="Calibri" w:hAnsi="Calibri" w:cs="Calibri"/>
        <w:color w:val="3B3B3B"/>
        <w:sz w:val="16"/>
        <w:szCs w:val="16"/>
      </w:rPr>
      <w:fldChar w:fldCharType="separate"/>
    </w:r>
    <w:r w:rsidR="00037D22">
      <w:rPr>
        <w:rFonts w:ascii="Calibri" w:eastAsia="Calibri" w:hAnsi="Calibri" w:cs="Calibri"/>
        <w:noProof/>
        <w:color w:val="3B3B3B"/>
        <w:sz w:val="16"/>
        <w:szCs w:val="16"/>
      </w:rPr>
      <w:t>1</w:t>
    </w:r>
    <w:r>
      <w:rPr>
        <w:rFonts w:ascii="Calibri" w:eastAsia="Calibri" w:hAnsi="Calibri" w:cs="Calibri"/>
        <w:color w:val="3B3B3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E7B2B" w14:textId="77777777" w:rsidR="00945C52" w:rsidRDefault="00945C52">
      <w:r>
        <w:separator/>
      </w:r>
    </w:p>
  </w:footnote>
  <w:footnote w:type="continuationSeparator" w:id="0">
    <w:p w14:paraId="2E64DF5C" w14:textId="77777777" w:rsidR="00945C52" w:rsidRDefault="00945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3D031" w14:textId="77777777" w:rsidR="00561093" w:rsidRDefault="00000000">
    <w:pPr>
      <w:pBdr>
        <w:bottom w:val="single" w:sz="6" w:space="6" w:color="434343"/>
      </w:pBdr>
    </w:pPr>
    <w:r>
      <w:rPr>
        <w:noProof/>
      </w:rPr>
      <w:drawing>
        <wp:inline distT="0" distB="0" distL="0" distR="0" wp14:anchorId="5300F9EA" wp14:editId="67805CB3">
          <wp:extent cx="1428750" cy="581025"/>
          <wp:effectExtent l="0" t="0" r="0" b="0"/>
          <wp:docPr id="1300819271" name="Picture 1300819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428750" cy="581025"/>
                  </a:xfrm>
                  <a:prstGeom prst="rect">
                    <a:avLst/>
                  </a:prstGeom>
                </pic:spPr>
              </pic:pic>
            </a:graphicData>
          </a:graphic>
        </wp:inline>
      </w:drawing>
    </w:r>
    <w:r>
      <w:rPr>
        <w:rFonts w:ascii="Calibri" w:eastAsia="Calibri" w:hAnsi="Calibri" w:cs="Calibri"/>
        <w:b/>
        <w:bCs/>
        <w:color w:val="434343"/>
        <w:sz w:val="16"/>
        <w:szCs w:val="16"/>
      </w:rPr>
      <w:t xml:space="preserve">   GEOMATICS HOUSE ENGINEERING CONSULTANTS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37712C"/>
    <w:multiLevelType w:val="hybridMultilevel"/>
    <w:tmpl w:val="ECC273B4"/>
    <w:lvl w:ilvl="0" w:tplc="35208784">
      <w:start w:val="1"/>
      <w:numFmt w:val="bullet"/>
      <w:lvlText w:val="●"/>
      <w:lvlJc w:val="left"/>
      <w:pPr>
        <w:ind w:left="720" w:hanging="360"/>
      </w:pPr>
    </w:lvl>
    <w:lvl w:ilvl="1" w:tplc="7CF66B8C">
      <w:start w:val="1"/>
      <w:numFmt w:val="bullet"/>
      <w:lvlText w:val="○"/>
      <w:lvlJc w:val="left"/>
      <w:pPr>
        <w:ind w:left="1440" w:hanging="360"/>
      </w:pPr>
    </w:lvl>
    <w:lvl w:ilvl="2" w:tplc="38FEF0A4">
      <w:start w:val="1"/>
      <w:numFmt w:val="bullet"/>
      <w:lvlText w:val="■"/>
      <w:lvlJc w:val="left"/>
      <w:pPr>
        <w:ind w:left="2160" w:hanging="360"/>
      </w:pPr>
    </w:lvl>
    <w:lvl w:ilvl="3" w:tplc="4CE68D8E">
      <w:start w:val="1"/>
      <w:numFmt w:val="bullet"/>
      <w:lvlText w:val="●"/>
      <w:lvlJc w:val="left"/>
      <w:pPr>
        <w:ind w:left="2880" w:hanging="360"/>
      </w:pPr>
    </w:lvl>
    <w:lvl w:ilvl="4" w:tplc="F2CC094E">
      <w:start w:val="1"/>
      <w:numFmt w:val="bullet"/>
      <w:lvlText w:val="○"/>
      <w:lvlJc w:val="left"/>
      <w:pPr>
        <w:ind w:left="3600" w:hanging="360"/>
      </w:pPr>
    </w:lvl>
    <w:lvl w:ilvl="5" w:tplc="75E66B70">
      <w:start w:val="1"/>
      <w:numFmt w:val="bullet"/>
      <w:lvlText w:val="■"/>
      <w:lvlJc w:val="left"/>
      <w:pPr>
        <w:ind w:left="4320" w:hanging="360"/>
      </w:pPr>
    </w:lvl>
    <w:lvl w:ilvl="6" w:tplc="06C40266">
      <w:start w:val="1"/>
      <w:numFmt w:val="bullet"/>
      <w:lvlText w:val="●"/>
      <w:lvlJc w:val="left"/>
      <w:pPr>
        <w:ind w:left="5040" w:hanging="360"/>
      </w:pPr>
    </w:lvl>
    <w:lvl w:ilvl="7" w:tplc="7A36F6E0">
      <w:start w:val="1"/>
      <w:numFmt w:val="bullet"/>
      <w:lvlText w:val="●"/>
      <w:lvlJc w:val="left"/>
      <w:pPr>
        <w:ind w:left="5760" w:hanging="360"/>
      </w:pPr>
    </w:lvl>
    <w:lvl w:ilvl="8" w:tplc="9B8E004A">
      <w:start w:val="1"/>
      <w:numFmt w:val="bullet"/>
      <w:lvlText w:val="●"/>
      <w:lvlJc w:val="left"/>
      <w:pPr>
        <w:ind w:left="6480" w:hanging="360"/>
      </w:pPr>
    </w:lvl>
  </w:abstractNum>
  <w:num w:numId="1" w16cid:durableId="52726197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093"/>
    <w:rsid w:val="00037D22"/>
    <w:rsid w:val="001200EA"/>
    <w:rsid w:val="00331687"/>
    <w:rsid w:val="00404245"/>
    <w:rsid w:val="00561093"/>
    <w:rsid w:val="00656F20"/>
    <w:rsid w:val="00945C52"/>
    <w:rsid w:val="00974883"/>
    <w:rsid w:val="00E738A0"/>
    <w:rsid w:val="00EF43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F885C"/>
  <w15:docId w15:val="{FEF06B1A-EBAD-4B1C-A36E-10E9D75C7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image" Target="media/image6.jpe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538</Words>
  <Characters>3600</Characters>
  <Application>Microsoft Office Word</Application>
  <DocSecurity>0</DocSecurity>
  <Lines>72</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DR.Hassan Sayed Ahmed Hassan</cp:lastModifiedBy>
  <cp:revision>5</cp:revision>
  <dcterms:created xsi:type="dcterms:W3CDTF">2026-08-31T11:47:00Z</dcterms:created>
  <dcterms:modified xsi:type="dcterms:W3CDTF">2026-08-31T13:52:00Z</dcterms:modified>
</cp:coreProperties>
</file>